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670" w:right="140"/>
        <w:jc w:val="both"/>
        <w:widowControl/>
        <w:rPr>
          <w:sz w:val="28"/>
          <w:szCs w:val="28"/>
        </w:rPr>
      </w:pPr>
      <w:r>
        <w:rPr>
          <w:sz w:val="28"/>
          <w:szCs w:val="28"/>
        </w:rPr>
        <w:t xml:space="preserve">УТВЕРЖДЕН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670" w:right="140"/>
        <w:jc w:val="both"/>
        <w:widowControl/>
        <w:rPr>
          <w:sz w:val="28"/>
          <w:szCs w:val="28"/>
        </w:rPr>
      </w:pPr>
      <w:r>
        <w:rPr>
          <w:sz w:val="28"/>
          <w:szCs w:val="28"/>
        </w:rPr>
        <w:t xml:space="preserve">распоряжением Правительства Московской области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670" w:right="140"/>
        <w:jc w:val="both"/>
        <w:widowControl/>
        <w:rPr>
          <w:sz w:val="28"/>
          <w:szCs w:val="28"/>
        </w:rPr>
      </w:pPr>
      <w:r>
        <w:rPr>
          <w:sz w:val="28"/>
          <w:szCs w:val="28"/>
        </w:rPr>
        <w:t xml:space="preserve">от ___________ № 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1418" w:right="1418"/>
        <w:jc w:val="center"/>
        <w:widowControl/>
        <w:rPr>
          <w:bCs/>
          <w:sz w:val="27"/>
          <w:szCs w:val="27"/>
        </w:rPr>
      </w:pPr>
      <w:r>
        <w:rPr>
          <w:bCs/>
          <w:sz w:val="27"/>
          <w:szCs w:val="27"/>
        </w:rPr>
      </w:r>
      <w:r>
        <w:rPr>
          <w:bCs/>
          <w:sz w:val="27"/>
          <w:szCs w:val="27"/>
        </w:rPr>
      </w:r>
      <w:r>
        <w:rPr>
          <w:bCs/>
          <w:sz w:val="27"/>
          <w:szCs w:val="27"/>
        </w:rPr>
      </w:r>
    </w:p>
    <w:p>
      <w:pPr>
        <w:jc w:val="center"/>
        <w:rPr>
          <w:rFonts w:ascii="Times New Roman CYR" w:hAnsi="Times New Roman CYR" w:cs="Times New Roman CYR"/>
          <w:bCs/>
          <w:sz w:val="27"/>
          <w:szCs w:val="27"/>
        </w:rPr>
      </w:pPr>
      <w:r>
        <w:rPr>
          <w:rFonts w:ascii="Times New Roman CYR" w:hAnsi="Times New Roman CYR" w:cs="Times New Roman CYR"/>
          <w:bCs/>
          <w:sz w:val="27"/>
          <w:szCs w:val="27"/>
        </w:rPr>
      </w:r>
      <w:r>
        <w:rPr>
          <w:rFonts w:ascii="Times New Roman CYR" w:hAnsi="Times New Roman CYR" w:cs="Times New Roman CYR"/>
          <w:bCs/>
          <w:sz w:val="27"/>
          <w:szCs w:val="27"/>
        </w:rPr>
      </w:r>
      <w:r>
        <w:rPr>
          <w:rFonts w:ascii="Times New Roman CYR" w:hAnsi="Times New Roman CYR" w:cs="Times New Roman CYR"/>
          <w:bCs/>
          <w:sz w:val="27"/>
          <w:szCs w:val="27"/>
        </w:rPr>
      </w:r>
    </w:p>
    <w:p>
      <w:pPr>
        <w:jc w:val="center"/>
        <w:rPr>
          <w:rFonts w:ascii="Times New Roman CYR" w:hAnsi="Times New Roman CYR" w:cs="Times New Roman CYR"/>
          <w:bCs/>
          <w:sz w:val="27"/>
          <w:szCs w:val="27"/>
        </w:rPr>
      </w:pPr>
      <w:r>
        <w:rPr>
          <w:rFonts w:ascii="Times New Roman CYR" w:hAnsi="Times New Roman CYR" w:cs="Times New Roman CYR"/>
          <w:bCs/>
          <w:sz w:val="27"/>
          <w:szCs w:val="27"/>
        </w:rPr>
      </w:r>
      <w:r>
        <w:rPr>
          <w:rFonts w:ascii="Times New Roman CYR" w:hAnsi="Times New Roman CYR" w:cs="Times New Roman CYR"/>
          <w:bCs/>
          <w:sz w:val="27"/>
          <w:szCs w:val="27"/>
        </w:rPr>
      </w:r>
      <w:r>
        <w:rPr>
          <w:rFonts w:ascii="Times New Roman CYR" w:hAnsi="Times New Roman CYR" w:cs="Times New Roman CYR"/>
          <w:bCs/>
          <w:sz w:val="27"/>
          <w:szCs w:val="27"/>
        </w:rPr>
      </w:r>
    </w:p>
    <w:p>
      <w:pPr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ПЕРЕЧЕНЬ</w:t>
      </w:r>
      <w:r>
        <w:rPr>
          <w:rFonts w:ascii="Times New Roman CYR" w:hAnsi="Times New Roman CYR" w:cs="Times New Roman CYR"/>
          <w:bCs/>
          <w:sz w:val="28"/>
          <w:szCs w:val="28"/>
        </w:rPr>
      </w:r>
      <w:r>
        <w:rPr>
          <w:rFonts w:ascii="Times New Roman CYR" w:hAnsi="Times New Roman CYR" w:cs="Times New Roman CYR"/>
          <w:bCs/>
          <w:sz w:val="28"/>
          <w:szCs w:val="28"/>
        </w:rPr>
      </w:r>
    </w:p>
    <w:p>
      <w:pPr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главных администраторов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доходов бюджета </w:t>
      </w:r>
      <w:r>
        <w:rPr>
          <w:rFonts w:ascii="Times New Roman CYR" w:hAnsi="Times New Roman CYR" w:cs="Times New Roman CYR"/>
          <w:bCs/>
          <w:sz w:val="28"/>
          <w:szCs w:val="28"/>
        </w:rPr>
        <w:br w:type="textWrapping" w:clear="all"/>
        <w:t xml:space="preserve">Территориального фонда обязательного медицинского страхования Московской области</w:t>
      </w:r>
      <w:r>
        <w:rPr>
          <w:rFonts w:ascii="Times New Roman CYR" w:hAnsi="Times New Roman CYR" w:cs="Times New Roman CYR"/>
          <w:bCs/>
          <w:sz w:val="28"/>
          <w:szCs w:val="28"/>
        </w:rPr>
      </w:r>
      <w:r>
        <w:rPr>
          <w:rFonts w:ascii="Times New Roman CYR" w:hAnsi="Times New Roman CYR" w:cs="Times New Roman CYR"/>
          <w:bCs/>
          <w:sz w:val="28"/>
          <w:szCs w:val="28"/>
        </w:rPr>
      </w:r>
    </w:p>
    <w:p>
      <w:pPr>
        <w:jc w:val="center"/>
        <w:rPr>
          <w:rFonts w:ascii="Times New Roman CYR" w:hAnsi="Times New Roman CYR" w:cs="Times New Roman CYR"/>
          <w:bCs/>
          <w:sz w:val="27"/>
          <w:szCs w:val="27"/>
        </w:rPr>
      </w:pPr>
      <w:r>
        <w:rPr>
          <w:rFonts w:ascii="Times New Roman CYR" w:hAnsi="Times New Roman CYR" w:cs="Times New Roman CYR"/>
          <w:bCs/>
          <w:sz w:val="27"/>
          <w:szCs w:val="27"/>
        </w:rPr>
      </w:r>
      <w:r>
        <w:rPr>
          <w:rFonts w:ascii="Times New Roman CYR" w:hAnsi="Times New Roman CYR" w:cs="Times New Roman CYR"/>
          <w:bCs/>
          <w:sz w:val="27"/>
          <w:szCs w:val="27"/>
        </w:rPr>
      </w:r>
      <w:r>
        <w:rPr>
          <w:rFonts w:ascii="Times New Roman CYR" w:hAnsi="Times New Roman CYR" w:cs="Times New Roman CYR"/>
          <w:bCs/>
          <w:sz w:val="27"/>
          <w:szCs w:val="27"/>
        </w:rPr>
      </w:r>
    </w:p>
    <w:p>
      <w:pPr>
        <w:jc w:val="center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tbl>
      <w:tblPr>
        <w:tblW w:w="10490" w:type="dxa"/>
        <w:tblInd w:w="-74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2989"/>
        <w:gridCol w:w="5953"/>
      </w:tblGrid>
      <w:tr>
        <w:tblPrEx/>
        <w:trPr/>
        <w:tc>
          <w:tcPr>
            <w:gridSpan w:val="2"/>
            <w:tcW w:w="4537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 xml:space="preserve">Код бюджетной классификации Российской Федерации</w:t>
            </w:r>
            <w:r>
              <w:rPr>
                <w:bCs/>
                <w:sz w:val="27"/>
                <w:szCs w:val="27"/>
              </w:rPr>
            </w:r>
            <w:r>
              <w:rPr>
                <w:bCs/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 xml:space="preserve">Наименование главного администратора доходов бюджета, наименование кода вида (подвида) доходов бюджета</w:t>
            </w:r>
            <w:r>
              <w:rPr>
                <w:bCs/>
                <w:sz w:val="27"/>
                <w:szCs w:val="27"/>
              </w:rPr>
            </w:r>
            <w:r>
              <w:rPr>
                <w:bCs/>
                <w:sz w:val="27"/>
                <w:szCs w:val="27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 xml:space="preserve">главного </w:t>
            </w:r>
            <w:r>
              <w:rPr>
                <w:bCs/>
                <w:sz w:val="27"/>
                <w:szCs w:val="27"/>
              </w:rPr>
              <w:t xml:space="preserve">админи-стратора</w:t>
            </w:r>
            <w:r>
              <w:rPr>
                <w:bCs/>
                <w:sz w:val="27"/>
                <w:szCs w:val="27"/>
              </w:rPr>
              <w:t xml:space="preserve"> доходов бюджета</w:t>
            </w:r>
            <w:r>
              <w:rPr>
                <w:bCs/>
                <w:sz w:val="27"/>
                <w:szCs w:val="27"/>
              </w:rPr>
            </w:r>
            <w:r>
              <w:rPr>
                <w:bCs/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 xml:space="preserve">вида (подвида) </w:t>
            </w:r>
            <w:r>
              <w:rPr>
                <w:bCs/>
                <w:sz w:val="27"/>
                <w:szCs w:val="27"/>
              </w:rPr>
            </w:r>
            <w:r>
              <w:rPr>
                <w:bCs/>
                <w:sz w:val="27"/>
                <w:szCs w:val="27"/>
              </w:rPr>
            </w:r>
          </w:p>
          <w:p>
            <w:pPr>
              <w:jc w:val="center"/>
              <w:widowControl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 xml:space="preserve">доходов бюджета </w:t>
            </w:r>
            <w:r>
              <w:rPr>
                <w:bCs/>
                <w:sz w:val="27"/>
                <w:szCs w:val="27"/>
              </w:rPr>
            </w:r>
            <w:r>
              <w:rPr>
                <w:bCs/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vMerge w:val="continue"/>
            <w:textDirection w:val="lrTb"/>
            <w:noWrap w:val="false"/>
          </w:tcPr>
          <w:p>
            <w:pPr>
              <w:widowControl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</w:r>
            <w:r>
              <w:rPr>
                <w:b/>
                <w:bCs/>
                <w:sz w:val="27"/>
                <w:szCs w:val="27"/>
              </w:rPr>
            </w:r>
            <w:r>
              <w:rPr>
                <w:b/>
                <w:bCs/>
                <w:sz w:val="27"/>
                <w:szCs w:val="27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2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>
          <w:trHeight w:val="870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 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none"/>
              </w:rPr>
            </w:pPr>
            <w:r>
              <w:rPr>
                <w:sz w:val="27"/>
                <w:szCs w:val="27"/>
              </w:rPr>
              <w:t xml:space="preserve">Территориальный фонд обязательного медицинского страхования Московской области</w:t>
            </w:r>
            <w:r>
              <w:rPr>
                <w:sz w:val="27"/>
                <w:szCs w:val="27"/>
                <w:highlight w:val="none"/>
              </w:rPr>
            </w:r>
            <w:r>
              <w:rPr>
                <w:sz w:val="27"/>
                <w:szCs w:val="27"/>
                <w:highlight w:val="none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1 11 02072 09 0000 120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Доходы от размещения временно свободных средств территориальных фондов обязательного медицинского страхования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>
          <w:trHeight w:val="1321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1 11 09049 09 0000 120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>
          <w:trHeight w:val="1054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1 13 01999 09 0000 130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Прочие доходы бюджетов территориальных фондов обязательного медицинского страхования от оказания платных услуг (работ)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>
          <w:trHeight w:val="1917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1 13 02069 09 0000 130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Доходы, поступающие в порядке возмещения расходов, понесенных в связи с эксплуатацией государственного имущества, закрепленного </w:t>
            </w:r>
            <w:r>
              <w:rPr>
                <w:sz w:val="27"/>
                <w:szCs w:val="27"/>
              </w:rPr>
              <w:br w:type="textWrapping" w:clear="all"/>
              <w:t xml:space="preserve">на праве оперативного управления за территориальными фондами обязательного медицинского страхования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>
          <w:trHeight w:val="1104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1 13 02999 09 0000 130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Прочие доходы от компенсации затрат бюджетов территориальных фондов обязательного медицинского страхования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1 14 02090 09 0000 410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Доходы от реализации имущества, находящегося в оперативном управлении территориальных </w:t>
            </w:r>
            <w:r>
              <w:rPr>
                <w:sz w:val="27"/>
                <w:szCs w:val="27"/>
              </w:rPr>
              <w:t xml:space="preserve">фондов обязательного медицинского страхования (в части реализации основных средств по указанному имуществу)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1 14 02090 09 0000 440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1 14 04090 09 0000 420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1 16 01230 09 0000 140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</w:t>
            </w:r>
            <w:r>
              <w:rPr>
                <w:sz w:val="27"/>
                <w:szCs w:val="27"/>
              </w:rPr>
              <w:t xml:space="preserve">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выявленные должностными лицами территориальных фондов обязательного медицинского страхования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>
          <w:trHeight w:val="1962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1 16 07010 09 0000 140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Штрафы, неустойки, пени, уплаченные </w:t>
            </w:r>
            <w:r>
              <w:rPr>
                <w:sz w:val="27"/>
                <w:szCs w:val="27"/>
              </w:rPr>
              <w:br w:type="textWrapping" w:clear="all"/>
              <w:t xml:space="preserve">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>
          <w:trHeight w:val="1858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1 16 07090 09 0000 140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Иные штрафы, неустойки, пени, уплаченные </w:t>
            </w:r>
            <w:r>
              <w:rPr>
                <w:sz w:val="27"/>
                <w:szCs w:val="27"/>
              </w:rPr>
              <w:br w:type="textWrapping" w:clear="all"/>
              <w:t xml:space="preserve">в соответствии с законом или договором </w:t>
            </w:r>
            <w:r>
              <w:rPr>
                <w:sz w:val="27"/>
                <w:szCs w:val="27"/>
              </w:rPr>
              <w:br w:type="textWrapping" w:clear="all"/>
              <w:t xml:space="preserve">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1 16 10058 09 0000 140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Платежи в целях возмещения убытков, причиненных уклонением от заключения </w:t>
            </w:r>
            <w:r>
              <w:rPr>
                <w:sz w:val="27"/>
                <w:szCs w:val="27"/>
              </w:rPr>
              <w:br w:type="textWrapping" w:clear="all"/>
              <w:t xml:space="preserve">с территориа</w:t>
            </w:r>
            <w:r>
              <w:rPr>
                <w:sz w:val="27"/>
                <w:szCs w:val="27"/>
              </w:rPr>
              <w:t xml:space="preserve">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</w:t>
            </w:r>
            <w:r>
              <w:rPr>
                <w:sz w:val="27"/>
                <w:szCs w:val="27"/>
              </w:rPr>
              <w:br/>
            </w:r>
            <w:r>
              <w:rPr>
                <w:sz w:val="27"/>
                <w:szCs w:val="27"/>
              </w:rPr>
              <w:t xml:space="preserve"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1 16 10078 09 0000 140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1 16 10100 09 0000 140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1 16 10117 09 0000 140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Возмещение ущерба при возникновении страховых случаев, когда </w:t>
            </w:r>
            <w:r>
              <w:rPr>
                <w:sz w:val="27"/>
                <w:szCs w:val="27"/>
              </w:rPr>
              <w:t xml:space="preserve">выгодоприобретателями</w:t>
            </w:r>
            <w:r>
              <w:rPr>
                <w:sz w:val="27"/>
                <w:szCs w:val="27"/>
              </w:rPr>
              <w:t xml:space="preserve"> выступают получатели средств бюджета территориального фонда обязательного медицинского страхования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1 16 10118 09 0000 140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1 16 10119 09 0000 140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1 16 10127 01 0000 140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1 17 01090 09 0000 180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Невыясненные поступления, зачисляемые </w:t>
            </w:r>
            <w:r>
              <w:rPr>
                <w:sz w:val="27"/>
                <w:szCs w:val="27"/>
              </w:rPr>
              <w:br w:type="textWrapping" w:clear="all"/>
              <w:t xml:space="preserve">в бюджеты территориальных фондов обязательного медицинского страхования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>
          <w:trHeight w:val="1068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1 17 06040 09 0000 180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Прочие неналоговые поступления </w:t>
            </w:r>
            <w:r>
              <w:rPr>
                <w:sz w:val="27"/>
                <w:szCs w:val="27"/>
              </w:rPr>
              <w:br w:type="textWrapping" w:clear="all"/>
              <w:t xml:space="preserve">в территориальные фонды обязательного медицинского страхования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1 17 16000 09 0000 180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Прочие неналоговые доходы бюджетов </w:t>
            </w:r>
            <w:r>
              <w:rPr>
                <w:sz w:val="27"/>
                <w:szCs w:val="27"/>
              </w:rPr>
              <w:t xml:space="preserve">территориальных фондов обязательного медицинского страхования в части невыясненных поступлений, по которым </w:t>
            </w:r>
            <w:r>
              <w:rPr>
                <w:sz w:val="27"/>
                <w:szCs w:val="27"/>
              </w:rPr>
              <w:br/>
              <w:t xml:space="preserve">не осуществлен возврат (уточнение) не позднее трех лет со дня их зачисления на единый счет бюджета территориального фонда обязательного медицинского страхования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1 18 02900 09 0000 150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Поступления в бюджеты те</w:t>
            </w:r>
            <w:r>
              <w:rPr>
                <w:sz w:val="27"/>
                <w:szCs w:val="27"/>
              </w:rPr>
              <w:t xml:space="preserve">рриториальных фондов обязательного медицинского страхования (перечисления из бюджетов территориальных фондов обязательного медицинского страхования) по урегулированию расчетов между бюджетами бюджетной системы Российской Федерации по распределенным доходам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 w:themeColor="text1"/>
                <w:sz w:val="27"/>
                <w:szCs w:val="27"/>
              </w:rPr>
            </w:pPr>
            <w:r>
              <w:rPr>
                <w:color w:val="000000" w:themeColor="text1"/>
                <w:sz w:val="27"/>
                <w:szCs w:val="27"/>
              </w:rPr>
              <w:t xml:space="preserve">395</w:t>
            </w:r>
            <w:r>
              <w:rPr>
                <w:color w:val="000000" w:themeColor="text1"/>
                <w:sz w:val="27"/>
                <w:szCs w:val="27"/>
              </w:rPr>
            </w:r>
            <w:r>
              <w:rPr>
                <w:color w:val="000000" w:themeColor="text1"/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color w:val="000000" w:themeColor="text1"/>
                <w:sz w:val="27"/>
                <w:szCs w:val="27"/>
              </w:rPr>
            </w:pPr>
            <w:r>
              <w:rPr>
                <w:color w:val="000000" w:themeColor="text1"/>
                <w:sz w:val="27"/>
                <w:szCs w:val="27"/>
              </w:rPr>
              <w:t xml:space="preserve">2 00 00000 0</w:t>
            </w:r>
            <w:r>
              <w:rPr>
                <w:color w:val="000000" w:themeColor="text1"/>
                <w:sz w:val="27"/>
                <w:szCs w:val="27"/>
                <w:lang w:val="en-US"/>
              </w:rPr>
              <w:t xml:space="preserve">0</w:t>
            </w:r>
            <w:r>
              <w:rPr>
                <w:color w:val="000000" w:themeColor="text1"/>
                <w:sz w:val="27"/>
                <w:szCs w:val="27"/>
              </w:rPr>
              <w:t xml:space="preserve"> 0000 000</w:t>
            </w:r>
            <w:r>
              <w:rPr>
                <w:color w:val="000000" w:themeColor="text1"/>
                <w:sz w:val="27"/>
                <w:szCs w:val="27"/>
              </w:rPr>
            </w:r>
            <w:r>
              <w:rPr>
                <w:color w:val="000000" w:themeColor="text1"/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pStyle w:val="875"/>
              <w:jc w:val="both"/>
              <w:spacing w:before="0" w:beforeAutospacing="0" w:after="0" w:afterAutospacing="0" w:line="282" w:lineRule="atLeast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 xml:space="preserve">БЕЗВОЗМЕЗДНЫЕ ПОСТУПЛЕНИЯ</w:t>
            </w:r>
            <w:r>
              <w:rPr>
                <w:color w:val="000000" w:themeColor="text1"/>
                <w:vertAlign w:val="superscript"/>
              </w:rPr>
              <w:t xml:space="preserve">1</w:t>
            </w:r>
            <w:r>
              <w:rPr>
                <w:color w:val="000000" w:themeColor="text1"/>
                <w:vertAlign w:val="superscript"/>
              </w:rPr>
            </w:r>
            <w:r>
              <w:rPr>
                <w:color w:val="000000" w:themeColor="text1"/>
                <w:vertAlign w:val="superscript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2 02 50202 09 0000 150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Межбюджетные трансферты из бюджетов субъектов Российской Федерации, </w:t>
            </w:r>
            <w:r>
              <w:rPr>
                <w:sz w:val="27"/>
                <w:szCs w:val="27"/>
              </w:rPr>
              <w:t xml:space="preserve">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>
          <w:trHeight w:val="415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2 02 50203 09 0000 150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Межбюджетные трансферты из бюджетов субъектов Р</w:t>
            </w:r>
            <w:r>
              <w:rPr>
                <w:sz w:val="27"/>
                <w:szCs w:val="27"/>
              </w:rPr>
              <w:t xml:space="preserve">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>
          <w:trHeight w:val="1845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395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2 02 50815 09 0000 150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территориальных программ обязательного медицинского страхования</w:t>
            </w: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</w:p>
        </w:tc>
      </w:tr>
      <w:tr>
        <w:tblPrEx/>
        <w:trPr>
          <w:trHeight w:val="414"/>
        </w:trPr>
        <w:tc>
          <w:tcPr>
            <w:tcW w:w="15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2 02 55036 09 0000 150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color w:val="000000"/>
                <w:szCs w:val="28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медицинской помощи, оказанной лицам, застрахованным по обязательному медицинскому страхованию, в рамках </w:t>
            </w:r>
            <w:r>
              <w:rPr>
                <w:sz w:val="27"/>
                <w:szCs w:val="27"/>
                <w:highlight w:val="white"/>
              </w:rPr>
              <w:t xml:space="preserve">реализации территориальных программ обязательного </w:t>
            </w:r>
            <w:bookmarkStart w:id="0" w:name="_GoBack"/>
            <w:r/>
            <w:bookmarkEnd w:id="0"/>
            <w:r>
              <w:rPr>
                <w:sz w:val="27"/>
                <w:szCs w:val="27"/>
                <w:highlight w:val="white"/>
              </w:rPr>
              <w:t xml:space="preserve">медицинского страхования</w:t>
            </w:r>
            <w:r>
              <w:rPr>
                <w:color w:val="000000"/>
                <w:szCs w:val="28"/>
                <w:highlight w:val="white"/>
              </w:rPr>
            </w:r>
            <w:r>
              <w:rPr>
                <w:color w:val="000000"/>
                <w:szCs w:val="28"/>
                <w:highlight w:val="white"/>
              </w:rPr>
            </w:r>
          </w:p>
        </w:tc>
      </w:tr>
      <w:tr>
        <w:tblPrEx/>
        <w:trPr>
          <w:trHeight w:val="1883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2 02 55093 09 0000 150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>
          <w:trHeight w:val="1638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2 02 55215 09 0000 150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финансовое обеспечение оказания медицинской помощи, включенной в базовую программу обязательного медицинского страхования, гражданам</w:t>
            </w:r>
            <w:r>
              <w:rPr>
                <w:sz w:val="27"/>
                <w:szCs w:val="27"/>
                <w:highlight w:val="white"/>
              </w:rPr>
              <w:t xml:space="preserve"> Российской Федерации, иностранным гражданам и лицам без гражданства, проживающим на территориях Донецкой Народной Республики, Луганской Народной Республики, Запорожской области и Херсонской области, застрахованным по обязательному медицинскому страхованию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>
          <w:trHeight w:val="1638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2 02 55257 09 0000 150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Межбюджетные трансферты, передаваемые бюджетам территориальных фондов обязательного медицинского страхования в целях </w:t>
            </w:r>
            <w:r>
              <w:rPr>
                <w:sz w:val="27"/>
                <w:szCs w:val="27"/>
                <w:highlight w:val="white"/>
              </w:rPr>
              <w:t xml:space="preserve">софинансирования</w:t>
            </w:r>
            <w:r>
              <w:rPr>
                <w:sz w:val="27"/>
                <w:szCs w:val="27"/>
                <w:highlight w:val="white"/>
              </w:rPr>
              <w:t xml:space="preserve"> расходов медицинских организаций на оплату труда врачей и среднего медицинского персонала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>
          <w:trHeight w:val="3255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2 02 55258 09 0000 150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Межбюджетные трансферты, передаваемые бюджетам территориальных фондов обязательн</w:t>
            </w:r>
            <w:r>
              <w:rPr>
                <w:sz w:val="27"/>
                <w:szCs w:val="27"/>
                <w:highlight w:val="white"/>
              </w:rPr>
              <w:t xml:space="preserve">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>
          <w:trHeight w:val="1020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2 02 59000 09 0000 150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color w:val="000000"/>
                <w:szCs w:val="28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Средства федерального бюджета, передаваемые бюджетам территориальных фондов обязательного медицинского страхования за счет средств резервного фонда Президента Российской Федерации</w:t>
            </w:r>
            <w:r>
              <w:rPr>
                <w:color w:val="000000"/>
                <w:szCs w:val="28"/>
                <w:highlight w:val="white"/>
              </w:rPr>
            </w:r>
            <w:r>
              <w:rPr>
                <w:color w:val="000000"/>
                <w:szCs w:val="28"/>
                <w:highlight w:val="white"/>
              </w:rPr>
            </w:r>
          </w:p>
        </w:tc>
      </w:tr>
      <w:tr>
        <w:tblPrEx/>
        <w:trPr>
          <w:trHeight w:val="414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2 02 59001 09 0000 150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Средства федерального бюджета, передаваемые бюджетам территориальных фондов обязательного медицинского страхования за счет средств резервного фонда Правительства </w:t>
            </w:r>
            <w:r>
              <w:rPr>
                <w:sz w:val="27"/>
                <w:szCs w:val="27"/>
                <w:highlight w:val="white"/>
              </w:rPr>
              <w:t xml:space="preserve">Российской Федерации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2 02 59999 09 0000 150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Прочие межбюджетные трансферты, передаваемые бюджетам территориальных фондов обязательного медицинского страхования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2 02 90029 09 0000 150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Прочие безвозмездные поступления </w:t>
            </w:r>
            <w:r>
              <w:rPr>
                <w:sz w:val="27"/>
                <w:szCs w:val="27"/>
                <w:highlight w:val="white"/>
              </w:rPr>
              <w:br w:type="textWrapping" w:clear="all"/>
              <w:t xml:space="preserve">в территориальные фонды обязательного медицинского страхования от бюджетов субъектов Российской Федерации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 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2 02 90073 09 0000 150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Прочие безвозмездные поступления в бюджеты территориальных фондов обязательного медицинского страхования от бюджета Федерального фонда обязательного медицинского страхования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2 04 09099 09 0000 150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Прочие безвозмездные поступления </w:t>
            </w:r>
            <w:r>
              <w:rPr>
                <w:sz w:val="27"/>
                <w:szCs w:val="27"/>
                <w:highlight w:val="white"/>
              </w:rPr>
              <w:br w:type="textWrapping" w:clear="all"/>
              <w:t xml:space="preserve">от негосударственных организаций в бюджеты территориальных фондов обязательного медицинского страхования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2 07 09000 09 0000 150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Прочие безвозмездные поступления в бюджеты территориальных фондов обязательного медицинского страхования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2 07 10090 09 0000 196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Безвозмездные межбюджетные </w:t>
            </w:r>
            <w:r>
              <w:rPr>
                <w:sz w:val="27"/>
                <w:szCs w:val="27"/>
                <w:highlight w:val="white"/>
              </w:rPr>
              <w:t xml:space="preserve">неденежные</w:t>
            </w:r>
            <w:r>
              <w:rPr>
                <w:sz w:val="27"/>
                <w:szCs w:val="27"/>
                <w:highlight w:val="white"/>
              </w:rPr>
              <w:t xml:space="preserve"> поступления в бюджеты территориальных фондов обязательного медицинского страхования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>
          <w:trHeight w:val="1501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2 07 10090 09 0000 197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Безвозмездные межбюджетные </w:t>
            </w:r>
            <w:r>
              <w:rPr>
                <w:sz w:val="27"/>
                <w:szCs w:val="27"/>
                <w:highlight w:val="white"/>
              </w:rPr>
              <w:t xml:space="preserve">неденежные</w:t>
            </w:r>
            <w:r>
              <w:rPr>
                <w:sz w:val="27"/>
                <w:szCs w:val="27"/>
                <w:highlight w:val="white"/>
              </w:rPr>
              <w:t xml:space="preserve"> поступления от бюджетных (автономных) учреждений в бюджеты территориальных фондов обязательного медицинского страхования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2 07 10090 09 0000 198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Безвозмездные </w:t>
            </w:r>
            <w:r>
              <w:rPr>
                <w:sz w:val="27"/>
                <w:szCs w:val="27"/>
                <w:highlight w:val="white"/>
              </w:rPr>
              <w:t xml:space="preserve">неденежные</w:t>
            </w:r>
            <w:r>
              <w:rPr>
                <w:sz w:val="27"/>
                <w:szCs w:val="27"/>
                <w:highlight w:val="white"/>
              </w:rPr>
              <w:t xml:space="preserve"> поступления </w:t>
            </w:r>
            <w:r>
              <w:rPr>
                <w:sz w:val="27"/>
                <w:szCs w:val="27"/>
                <w:highlight w:val="white"/>
              </w:rPr>
              <w:br w:type="textWrapping" w:clear="all"/>
              <w:t xml:space="preserve">от государственного сектора в бюджеты территориальных фондов обязательного медицинского страхования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2 07 10090 09 0000 199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Прочие безвозмездные </w:t>
            </w:r>
            <w:r>
              <w:rPr>
                <w:sz w:val="27"/>
                <w:szCs w:val="27"/>
                <w:highlight w:val="white"/>
              </w:rPr>
              <w:t xml:space="preserve">неденежные</w:t>
            </w:r>
            <w:r>
              <w:rPr>
                <w:sz w:val="27"/>
                <w:szCs w:val="27"/>
                <w:highlight w:val="white"/>
              </w:rPr>
              <w:t xml:space="preserve"> поступления в бюджеты территориальных фондов обязательного медицинского страхования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2 08 09000 09 0000 150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Перечисления из бюджетов территориальных фондов обязательного медицинского страхования (в бюд</w:t>
            </w:r>
            <w:r>
              <w:rPr>
                <w:sz w:val="27"/>
                <w:szCs w:val="27"/>
                <w:highlight w:val="white"/>
              </w:rPr>
              <w:t xml:space="preserve">жеты территориальных фондов обязательного медицинского страхования)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</w:t>
            </w:r>
            <w:r>
              <w:rPr>
                <w:sz w:val="27"/>
                <w:szCs w:val="27"/>
                <w:highlight w:val="white"/>
              </w:rPr>
              <w:t xml:space="preserve">и процентов, начисленных на излишне взысканные суммы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>
          <w:trHeight w:val="310"/>
        </w:trPr>
        <w:tc>
          <w:tcPr>
            <w:tcW w:w="15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2 18 45136 09 0000 150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color w:val="000000"/>
                <w:szCs w:val="28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  <w:r>
              <w:rPr>
                <w:color w:val="000000"/>
                <w:szCs w:val="28"/>
                <w:highlight w:val="white"/>
              </w:rPr>
            </w:r>
            <w:r>
              <w:rPr>
                <w:color w:val="000000"/>
                <w:szCs w:val="28"/>
                <w:highlight w:val="white"/>
              </w:rPr>
            </w:r>
          </w:p>
        </w:tc>
      </w:tr>
      <w:tr>
        <w:tblPrEx/>
        <w:trPr>
          <w:trHeight w:val="1665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2 18 73000 09 0000 150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>
          <w:trHeight w:val="1665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2 19 55036 09 0000 150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jc w:val="both"/>
              <w:widowControl/>
              <w:rPr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Возврат остатков иных межбюджетных трансфертов на дополнительное финансовое обеспечение медицинс</w:t>
            </w:r>
            <w:r>
              <w:rPr>
                <w:sz w:val="27"/>
                <w:szCs w:val="27"/>
                <w:highlight w:val="white"/>
              </w:rPr>
              <w:t xml:space="preserve">кой помощи, оказанной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 в 2024 году из бюджетов территориальных фондов обязательного медицинского страхования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2 19 55060 09 0000 150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Возврат остатков иных межбюджетных трансфертов прошлых лет на дополнительное финансовое обеспечение оказания специализированной, в том ч</w:t>
            </w:r>
            <w:r>
              <w:rPr>
                <w:sz w:val="27"/>
                <w:szCs w:val="27"/>
                <w:highlight w:val="white"/>
              </w:rPr>
              <w:t xml:space="preserve">исле высокотехнологичной медицинской помощи, включенной в базовую программу обязательного медицинского страхования,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2 19 55093 09 0000 150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Возврат остатков субвенций прошлых лет </w:t>
            </w:r>
            <w:r>
              <w:rPr>
                <w:sz w:val="27"/>
                <w:szCs w:val="27"/>
                <w:highlight w:val="white"/>
              </w:rPr>
              <w:br w:type="textWrapping" w:clear="all"/>
              <w:t xml:space="preserve">на финансовое обеспечение организации обязательного медицинского страхования </w:t>
            </w:r>
            <w:r>
              <w:rPr>
                <w:sz w:val="27"/>
                <w:szCs w:val="27"/>
                <w:highlight w:val="white"/>
              </w:rPr>
              <w:br/>
              <w:t xml:space="preserve">на территориях субъектов Российской Федерации в бюджет Федерального фонда обязательного медицинского страхования </w:t>
            </w:r>
            <w:r>
              <w:rPr>
                <w:sz w:val="27"/>
                <w:szCs w:val="27"/>
                <w:highlight w:val="white"/>
              </w:rPr>
              <w:br/>
              <w:t xml:space="preserve">из бюджетов территориальных фондов обязательного медицинского страхования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>
          <w:trHeight w:val="310"/>
        </w:trPr>
        <w:tc>
          <w:tcPr>
            <w:tcW w:w="15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2 19 55136 09 0000 150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widowControl/>
              <w:rPr>
                <w:color w:val="000000"/>
                <w:szCs w:val="28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</w:t>
            </w:r>
            <w:r>
              <w:rPr>
                <w:sz w:val="27"/>
                <w:szCs w:val="27"/>
                <w:highlight w:val="white"/>
              </w:rPr>
              <w:t xml:space="preserve">медицинского страхования</w:t>
            </w:r>
            <w:r>
              <w:rPr>
                <w:color w:val="000000"/>
                <w:szCs w:val="28"/>
                <w:highlight w:val="white"/>
              </w:rPr>
            </w:r>
            <w:r>
              <w:rPr>
                <w:color w:val="000000"/>
                <w:szCs w:val="28"/>
                <w:highlight w:val="white"/>
              </w:rPr>
            </w:r>
          </w:p>
        </w:tc>
      </w:tr>
      <w:tr>
        <w:tblPrEx/>
        <w:trPr>
          <w:trHeight w:val="2265"/>
        </w:trPr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2 19 55215 09 0000 150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В</w:t>
            </w:r>
            <w:r>
              <w:rPr>
                <w:sz w:val="27"/>
                <w:szCs w:val="27"/>
                <w:highlight w:val="white"/>
              </w:rPr>
              <w:t xml:space="preserve">озврат остатков иных межбюджетных трансфертов на финансовое обеспечение оказания медицинской помощи, включенной в базовую программу обязательного медицинского страхования, гражданам Российской Федерации, иностранным гражданам и лицам без гражданства, прожи</w:t>
            </w:r>
            <w:r>
              <w:rPr>
                <w:sz w:val="27"/>
                <w:szCs w:val="27"/>
                <w:highlight w:val="white"/>
              </w:rPr>
              <w:t xml:space="preserve">вающим на территориях Донецкой Народной Республики, Луганской Народной Республики, Запорожской области и Херсонской области, застрахованным по обязательному медицинскому страхованию, из бюджетов территориальных фондов обязательного медицинского страхования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2 19 55257 09 0000 150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Возврат остатков межбюджетных трансфертов прошлых лет в целях </w:t>
            </w:r>
            <w:r>
              <w:rPr>
                <w:sz w:val="27"/>
                <w:szCs w:val="27"/>
                <w:highlight w:val="white"/>
              </w:rPr>
              <w:t xml:space="preserve">софинансирования</w:t>
            </w:r>
            <w:r>
              <w:rPr>
                <w:sz w:val="27"/>
                <w:szCs w:val="27"/>
                <w:highlight w:val="white"/>
              </w:rPr>
              <w:t xml:space="preserve"> расходов медицинских организаций на оплату труда врачей и среднего медицинского персонала из бюджетов территориальных фондов обязательного медицинского страхования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2 19 55258 09 0000 150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</w:t>
            </w:r>
            <w:r>
              <w:rPr>
                <w:sz w:val="27"/>
                <w:szCs w:val="27"/>
                <w:highlight w:val="white"/>
              </w:rPr>
              <w:t xml:space="preserve">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2 19 70000 09 0000 150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В</w:t>
            </w:r>
            <w:r>
              <w:rPr>
                <w:sz w:val="27"/>
                <w:szCs w:val="27"/>
                <w:highlight w:val="white"/>
              </w:rPr>
              <w:t xml:space="preserve">озврат остатков прочих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2 19 71030 09 0000 150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Возврат остатков прочих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субъектов Российской Федерации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  <w:tr>
        <w:tblPrEx/>
        <w:trPr/>
        <w:tc>
          <w:tcPr>
            <w:tcW w:w="154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395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2989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2 19 73000 09 0000 150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  <w:tc>
          <w:tcPr>
            <w:tcW w:w="5953" w:type="dxa"/>
            <w:vAlign w:val="center"/>
            <w:textDirection w:val="lrTb"/>
            <w:noWrap w:val="false"/>
          </w:tcPr>
          <w:p>
            <w:pPr>
              <w:jc w:val="both"/>
              <w:widowControl/>
              <w:rPr>
                <w:sz w:val="27"/>
                <w:szCs w:val="27"/>
                <w:highlight w:val="white"/>
              </w:rPr>
            </w:pPr>
            <w:r>
              <w:rPr>
                <w:sz w:val="27"/>
                <w:szCs w:val="27"/>
                <w:highlight w:val="white"/>
              </w:rPr>
              <w:t xml:space="preserve">Возврат остатков субсидий, субвенций и иных межбюджетных трансфертов, имеющих целевое </w:t>
            </w:r>
            <w:r>
              <w:rPr>
                <w:sz w:val="27"/>
                <w:szCs w:val="27"/>
                <w:highlight w:val="white"/>
              </w:rPr>
              <w:t xml:space="preserve">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      </w:r>
            <w:r>
              <w:rPr>
                <w:sz w:val="27"/>
                <w:szCs w:val="27"/>
                <w:highlight w:val="white"/>
              </w:rPr>
            </w:r>
            <w:r>
              <w:rPr>
                <w:sz w:val="27"/>
                <w:szCs w:val="27"/>
                <w:highlight w:val="white"/>
              </w:rPr>
            </w:r>
          </w:p>
        </w:tc>
      </w:tr>
    </w:tbl>
    <w:p>
      <w:pPr>
        <w:ind w:left="1418" w:right="1418"/>
        <w:jc w:val="both"/>
        <w:widowControl/>
        <w:rPr>
          <w:sz w:val="27"/>
          <w:szCs w:val="27"/>
          <w:lang w:val="en-US"/>
        </w:rPr>
      </w:pPr>
      <w:r>
        <w:rPr>
          <w:sz w:val="27"/>
          <w:szCs w:val="27"/>
          <w:lang w:val="en-US"/>
        </w:rPr>
      </w:r>
      <w:r>
        <w:rPr>
          <w:sz w:val="27"/>
          <w:szCs w:val="27"/>
          <w:lang w:val="en-US"/>
        </w:rPr>
      </w:r>
      <w:r>
        <w:rPr>
          <w:sz w:val="27"/>
          <w:szCs w:val="27"/>
          <w:lang w:val="en-US"/>
        </w:rPr>
      </w:r>
    </w:p>
    <w:p>
      <w:pPr>
        <w:pStyle w:val="875"/>
        <w:ind w:left="-851" w:firstLine="851"/>
        <w:jc w:val="both"/>
        <w:spacing w:before="0" w:beforeAutospacing="0" w:after="0" w:afterAutospacing="0" w:line="282" w:lineRule="atLeast"/>
        <w:tabs>
          <w:tab w:val="left" w:pos="709" w:leader="none"/>
        </w:tabs>
        <w:rPr>
          <w:color w:val="ff0000" w:themeColor="text1"/>
        </w:rPr>
      </w:pPr>
      <w:r>
        <w:rPr>
          <w:color w:val="000000" w:themeColor="text1"/>
        </w:rPr>
        <w:t xml:space="preserve">&lt;1</w:t>
      </w:r>
      <w:r>
        <w:rPr>
          <w:color w:val="000000" w:themeColor="text1"/>
        </w:rPr>
        <w:t xml:space="preserve">&gt; </w:t>
      </w:r>
      <w:r>
        <w:rPr>
          <w:color w:val="000000" w:themeColor="text1"/>
        </w:rPr>
        <w:t xml:space="preserve">Администрирование доходов бюджета </w:t>
      </w:r>
      <w:r>
        <w:rPr>
          <w:color w:val="000000" w:themeColor="text1"/>
        </w:rPr>
        <w:t xml:space="preserve">Территориального фонда обязательного медицинского страхования </w:t>
      </w:r>
      <w:r>
        <w:rPr>
          <w:color w:val="000000" w:themeColor="text1"/>
        </w:rPr>
        <w:t xml:space="preserve">Московской области по всем подгруппам, статьям, подстатьям</w:t>
      </w:r>
      <w:r>
        <w:rPr>
          <w:color w:val="000000" w:themeColor="text1"/>
        </w:rPr>
        <w:t xml:space="preserve"> </w:t>
        <w:br/>
        <w:t xml:space="preserve">и подвидам соответствующей статьи, по коду элемента доходов 0</w:t>
      </w:r>
      <w:r>
        <w:rPr>
          <w:color w:val="000000" w:themeColor="text1"/>
        </w:rPr>
        <w:t xml:space="preserve">9 </w:t>
      </w:r>
      <w:r>
        <w:rPr>
          <w:color w:val="000000" w:themeColor="text1"/>
        </w:rPr>
        <w:t xml:space="preserve">- </w:t>
      </w:r>
      <w:r>
        <w:rPr>
          <w:color w:val="000000" w:themeColor="text1"/>
        </w:rPr>
        <w:t xml:space="preserve">бюджет территориального фонда обязательного медицинского страхования</w:t>
      </w:r>
      <w:r>
        <w:rPr>
          <w:color w:val="000000" w:themeColor="text1"/>
        </w:rPr>
        <w:t xml:space="preserve"> агрегированного кода бюджетной классификации может осуществ</w:t>
      </w:r>
      <w:r>
        <w:rPr>
          <w:color w:val="000000" w:themeColor="text1"/>
        </w:rPr>
        <w:t xml:space="preserve">ляться главным администратором </w:t>
      </w:r>
      <w:r>
        <w:rPr>
          <w:color w:val="000000" w:themeColor="text1"/>
        </w:rPr>
        <w:t xml:space="preserve">в пределах компетенции.</w:t>
      </w:r>
      <w:r>
        <w:rPr>
          <w:color w:val="ff0000" w:themeColor="text1"/>
        </w:rPr>
      </w:r>
      <w:r>
        <w:rPr>
          <w:color w:val="ff0000" w:themeColor="text1"/>
        </w:rPr>
      </w:r>
    </w:p>
    <w:p>
      <w:pPr>
        <w:ind w:left="-851" w:right="1418" w:firstLine="851"/>
        <w:jc w:val="both"/>
        <w:widowControl/>
        <w:tabs>
          <w:tab w:val="left" w:pos="709" w:leader="none"/>
        </w:tabs>
        <w:rPr>
          <w:sz w:val="27"/>
          <w:szCs w:val="27"/>
          <w:highlight w:val="white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6117590</wp:posOffset>
                </wp:positionH>
                <wp:positionV relativeFrom="paragraph">
                  <wp:posOffset>-196849</wp:posOffset>
                </wp:positionV>
                <wp:extent cx="345440" cy="349885"/>
                <wp:effectExtent l="0" t="0" r="0" b="0"/>
                <wp:wrapNone/>
                <wp:docPr id="1" name="_x0000_s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45440" cy="3498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</w:r>
                            <w:r>
                              <w:rPr>
                                <w:sz w:val="28"/>
                              </w:rPr>
                            </w:r>
                            <w:r>
                              <w:rPr>
                                <w:sz w:val="28"/>
                              </w:rPr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202" type="#_x0000_t202" style="position:absolute;z-index:-251658752;o:allowoverlap:true;o:allowincell:true;mso-position-horizontal-relative:text;margin-left:481.70pt;mso-position-horizontal:absolute;mso-position-vertical-relative:text;margin-top:-15.50pt;mso-position-vertical:absolute;width:27.20pt;height:27.55pt;mso-wrap-distance-left:9.00pt;mso-wrap-distance-top:0.00pt;mso-wrap-distance-right:9.00pt;mso-wrap-distance-bottom:0.00pt;visibility:visible;" fillcolor="#FFFFFF" strokecolor="#FFFFFF">
                <v:textbox inset="0,0,0,0">
                  <w:txbxContent>
                    <w:p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</w:r>
                      <w:r>
                        <w:rPr>
                          <w:sz w:val="28"/>
                        </w:rPr>
                      </w:r>
                      <w:r>
                        <w:rPr>
                          <w:sz w:val="2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7"/>
          <w:szCs w:val="27"/>
          <w:highlight w:val="white"/>
        </w:rPr>
      </w:r>
      <w:r>
        <w:rPr>
          <w:sz w:val="27"/>
          <w:szCs w:val="27"/>
          <w:highlight w:val="white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Tahoma">
    <w:panose1 w:val="020B0604030504040204"/>
  </w:font>
  <w:font w:name="Calibri Light">
    <w:panose1 w:val="020F030202020403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7"/>
      <w:jc w:val="center"/>
      <w:rPr>
        <w:lang w:val="en-US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 xml:space="preserve">9</w:t>
    </w:r>
    <w:r>
      <w:rPr>
        <w:sz w:val="28"/>
        <w:szCs w:val="28"/>
      </w:rPr>
      <w:fldChar w:fldCharType="end"/>
    </w:r>
    <w:r>
      <w:rPr>
        <w:lang w:val="en-US"/>
      </w:rPr>
    </w:r>
    <w:r>
      <w:rPr>
        <w:lang w:val="en-US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1">
    <w:name w:val="Heading 2 Char"/>
    <w:basedOn w:val="695"/>
    <w:link w:val="687"/>
    <w:uiPriority w:val="9"/>
    <w:rPr>
      <w:rFonts w:ascii="Arial" w:hAnsi="Arial" w:eastAsia="Arial" w:cs="Arial"/>
      <w:sz w:val="34"/>
    </w:rPr>
  </w:style>
  <w:style w:type="character" w:styleId="672">
    <w:name w:val="Heading 3 Char"/>
    <w:basedOn w:val="695"/>
    <w:link w:val="688"/>
    <w:uiPriority w:val="9"/>
    <w:rPr>
      <w:rFonts w:ascii="Arial" w:hAnsi="Arial" w:eastAsia="Arial" w:cs="Arial"/>
      <w:sz w:val="30"/>
      <w:szCs w:val="30"/>
    </w:rPr>
  </w:style>
  <w:style w:type="character" w:styleId="673">
    <w:name w:val="Heading 4 Char"/>
    <w:basedOn w:val="695"/>
    <w:link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674">
    <w:name w:val="Heading 5 Char"/>
    <w:basedOn w:val="695"/>
    <w:link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675">
    <w:name w:val="Heading 6 Char"/>
    <w:basedOn w:val="695"/>
    <w:link w:val="691"/>
    <w:uiPriority w:val="9"/>
    <w:rPr>
      <w:rFonts w:ascii="Arial" w:hAnsi="Arial" w:eastAsia="Arial" w:cs="Arial"/>
      <w:b/>
      <w:bCs/>
      <w:sz w:val="22"/>
      <w:szCs w:val="22"/>
    </w:rPr>
  </w:style>
  <w:style w:type="character" w:styleId="676">
    <w:name w:val="Heading 7 Char"/>
    <w:basedOn w:val="695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8 Char"/>
    <w:basedOn w:val="695"/>
    <w:link w:val="693"/>
    <w:uiPriority w:val="9"/>
    <w:rPr>
      <w:rFonts w:ascii="Arial" w:hAnsi="Arial" w:eastAsia="Arial" w:cs="Arial"/>
      <w:i/>
      <w:iCs/>
      <w:sz w:val="22"/>
      <w:szCs w:val="22"/>
    </w:rPr>
  </w:style>
  <w:style w:type="character" w:styleId="678">
    <w:name w:val="Title Char"/>
    <w:basedOn w:val="695"/>
    <w:link w:val="709"/>
    <w:uiPriority w:val="10"/>
    <w:rPr>
      <w:sz w:val="48"/>
      <w:szCs w:val="48"/>
    </w:rPr>
  </w:style>
  <w:style w:type="character" w:styleId="679">
    <w:name w:val="Subtitle Char"/>
    <w:basedOn w:val="695"/>
    <w:link w:val="711"/>
    <w:uiPriority w:val="11"/>
    <w:rPr>
      <w:sz w:val="24"/>
      <w:szCs w:val="24"/>
    </w:rPr>
  </w:style>
  <w:style w:type="character" w:styleId="680">
    <w:name w:val="Quote Char"/>
    <w:link w:val="713"/>
    <w:uiPriority w:val="29"/>
    <w:rPr>
      <w:i/>
    </w:rPr>
  </w:style>
  <w:style w:type="character" w:styleId="681">
    <w:name w:val="Intense Quote Char"/>
    <w:link w:val="715"/>
    <w:uiPriority w:val="30"/>
    <w:rPr>
      <w:i/>
    </w:rPr>
  </w:style>
  <w:style w:type="character" w:styleId="682">
    <w:name w:val="Caption Char"/>
    <w:basedOn w:val="695"/>
    <w:link w:val="721"/>
    <w:uiPriority w:val="35"/>
    <w:rPr>
      <w:b/>
      <w:bCs/>
      <w:color w:val="4f81bd" w:themeColor="accent1"/>
      <w:sz w:val="18"/>
      <w:szCs w:val="18"/>
    </w:rPr>
  </w:style>
  <w:style w:type="character" w:styleId="683">
    <w:name w:val="Footnote Text Char"/>
    <w:link w:val="850"/>
    <w:uiPriority w:val="99"/>
    <w:rPr>
      <w:sz w:val="18"/>
    </w:rPr>
  </w:style>
  <w:style w:type="character" w:styleId="684">
    <w:name w:val="Endnote Text Char"/>
    <w:link w:val="853"/>
    <w:uiPriority w:val="99"/>
    <w:rPr>
      <w:sz w:val="20"/>
    </w:rPr>
  </w:style>
  <w:style w:type="paragraph" w:styleId="685" w:default="1">
    <w:name w:val="Normal"/>
    <w:qFormat/>
    <w:pPr>
      <w:widowControl w:val="off"/>
    </w:pPr>
  </w:style>
  <w:style w:type="paragraph" w:styleId="686">
    <w:name w:val="Heading 1"/>
    <w:basedOn w:val="685"/>
    <w:next w:val="685"/>
    <w:link w:val="870"/>
    <w:qFormat/>
    <w:pPr>
      <w:ind w:left="5580" w:right="-257"/>
      <w:jc w:val="both"/>
      <w:keepNext/>
      <w:widowControl/>
      <w:outlineLvl w:val="0"/>
    </w:pPr>
    <w:rPr>
      <w:sz w:val="24"/>
      <w:szCs w:val="24"/>
      <w:lang w:val="en-US" w:eastAsia="en-US"/>
    </w:rPr>
  </w:style>
  <w:style w:type="paragraph" w:styleId="687">
    <w:name w:val="Heading 2"/>
    <w:basedOn w:val="685"/>
    <w:next w:val="685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8">
    <w:name w:val="Heading 3"/>
    <w:basedOn w:val="685"/>
    <w:next w:val="685"/>
    <w:link w:val="70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9">
    <w:name w:val="Heading 4"/>
    <w:basedOn w:val="685"/>
    <w:next w:val="685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685"/>
    <w:next w:val="685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1">
    <w:name w:val="Heading 6"/>
    <w:basedOn w:val="685"/>
    <w:next w:val="685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685"/>
    <w:next w:val="685"/>
    <w:link w:val="70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3">
    <w:name w:val="Heading 8"/>
    <w:basedOn w:val="685"/>
    <w:next w:val="685"/>
    <w:link w:val="7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685"/>
    <w:next w:val="685"/>
    <w:link w:val="871"/>
    <w:unhideWhenUsed/>
    <w:qFormat/>
    <w:pPr>
      <w:spacing w:before="240" w:after="60"/>
      <w:outlineLvl w:val="8"/>
    </w:pPr>
    <w:rPr>
      <w:rFonts w:ascii="Calibri Light" w:hAnsi="Calibri Light"/>
      <w:sz w:val="22"/>
      <w:szCs w:val="22"/>
      <w:lang w:val="en-US" w:eastAsia="en-US"/>
    </w:rPr>
  </w:style>
  <w:style w:type="character" w:styleId="695" w:default="1">
    <w:name w:val="Default Paragraph Font"/>
    <w:uiPriority w:val="1"/>
    <w:semiHidden/>
    <w:unhideWhenUsed/>
  </w:style>
  <w:style w:type="table" w:styleId="69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7" w:default="1">
    <w:name w:val="No List"/>
    <w:uiPriority w:val="99"/>
    <w:semiHidden/>
    <w:unhideWhenUsed/>
  </w:style>
  <w:style w:type="character" w:styleId="698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699" w:customStyle="1">
    <w:name w:val="Заголовок 2 Знак"/>
    <w:link w:val="687"/>
    <w:uiPriority w:val="9"/>
    <w:rPr>
      <w:rFonts w:ascii="Arial" w:hAnsi="Arial" w:eastAsia="Arial" w:cs="Arial"/>
      <w:sz w:val="34"/>
    </w:rPr>
  </w:style>
  <w:style w:type="character" w:styleId="700" w:customStyle="1">
    <w:name w:val="Заголовок 3 Знак"/>
    <w:link w:val="688"/>
    <w:uiPriority w:val="9"/>
    <w:rPr>
      <w:rFonts w:ascii="Arial" w:hAnsi="Arial" w:eastAsia="Arial" w:cs="Arial"/>
      <w:sz w:val="30"/>
      <w:szCs w:val="30"/>
    </w:rPr>
  </w:style>
  <w:style w:type="character" w:styleId="701" w:customStyle="1">
    <w:name w:val="Заголовок 4 Знак"/>
    <w:link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702" w:customStyle="1">
    <w:name w:val="Заголовок 5 Знак"/>
    <w:link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703" w:customStyle="1">
    <w:name w:val="Заголовок 6 Знак"/>
    <w:link w:val="691"/>
    <w:uiPriority w:val="9"/>
    <w:rPr>
      <w:rFonts w:ascii="Arial" w:hAnsi="Arial" w:eastAsia="Arial" w:cs="Arial"/>
      <w:b/>
      <w:bCs/>
      <w:sz w:val="22"/>
      <w:szCs w:val="22"/>
    </w:rPr>
  </w:style>
  <w:style w:type="character" w:styleId="704" w:customStyle="1">
    <w:name w:val="Заголовок 7 Знак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5" w:customStyle="1">
    <w:name w:val="Заголовок 8 Знак"/>
    <w:link w:val="693"/>
    <w:uiPriority w:val="9"/>
    <w:rPr>
      <w:rFonts w:ascii="Arial" w:hAnsi="Arial" w:eastAsia="Arial" w:cs="Arial"/>
      <w:i/>
      <w:iCs/>
      <w:sz w:val="22"/>
      <w:szCs w:val="22"/>
    </w:rPr>
  </w:style>
  <w:style w:type="character" w:styleId="706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List Paragraph"/>
    <w:basedOn w:val="685"/>
    <w:uiPriority w:val="34"/>
    <w:qFormat/>
    <w:pPr>
      <w:contextualSpacing/>
      <w:ind w:left="720"/>
    </w:pPr>
  </w:style>
  <w:style w:type="paragraph" w:styleId="708">
    <w:name w:val="No Spacing"/>
    <w:uiPriority w:val="1"/>
    <w:qFormat/>
    <w:rPr>
      <w:lang w:eastAsia="zh-CN"/>
    </w:rPr>
  </w:style>
  <w:style w:type="paragraph" w:styleId="709">
    <w:name w:val="Title"/>
    <w:basedOn w:val="685"/>
    <w:next w:val="685"/>
    <w:link w:val="71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0" w:customStyle="1">
    <w:name w:val="Название Знак"/>
    <w:link w:val="709"/>
    <w:uiPriority w:val="10"/>
    <w:rPr>
      <w:sz w:val="48"/>
      <w:szCs w:val="48"/>
    </w:rPr>
  </w:style>
  <w:style w:type="paragraph" w:styleId="711">
    <w:name w:val="Subtitle"/>
    <w:basedOn w:val="685"/>
    <w:next w:val="685"/>
    <w:link w:val="712"/>
    <w:uiPriority w:val="11"/>
    <w:qFormat/>
    <w:pPr>
      <w:spacing w:before="200" w:after="200"/>
    </w:pPr>
    <w:rPr>
      <w:sz w:val="24"/>
      <w:szCs w:val="24"/>
    </w:rPr>
  </w:style>
  <w:style w:type="character" w:styleId="712" w:customStyle="1">
    <w:name w:val="Подзаголовок Знак"/>
    <w:link w:val="711"/>
    <w:uiPriority w:val="11"/>
    <w:rPr>
      <w:sz w:val="24"/>
      <w:szCs w:val="24"/>
    </w:rPr>
  </w:style>
  <w:style w:type="paragraph" w:styleId="713">
    <w:name w:val="Quote"/>
    <w:basedOn w:val="685"/>
    <w:next w:val="685"/>
    <w:link w:val="714"/>
    <w:uiPriority w:val="29"/>
    <w:qFormat/>
    <w:pPr>
      <w:ind w:left="720" w:right="720"/>
    </w:pPr>
    <w:rPr>
      <w:i/>
    </w:rPr>
  </w:style>
  <w:style w:type="character" w:styleId="714" w:customStyle="1">
    <w:name w:val="Цитата 2 Знак"/>
    <w:link w:val="713"/>
    <w:uiPriority w:val="29"/>
    <w:rPr>
      <w:i/>
    </w:rPr>
  </w:style>
  <w:style w:type="paragraph" w:styleId="715">
    <w:name w:val="Intense Quote"/>
    <w:basedOn w:val="685"/>
    <w:next w:val="685"/>
    <w:link w:val="71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6" w:customStyle="1">
    <w:name w:val="Выделенная цитата Знак"/>
    <w:link w:val="715"/>
    <w:uiPriority w:val="30"/>
    <w:rPr>
      <w:i/>
    </w:rPr>
  </w:style>
  <w:style w:type="paragraph" w:styleId="717">
    <w:name w:val="Header"/>
    <w:basedOn w:val="685"/>
    <w:link w:val="874"/>
    <w:uiPriority w:val="99"/>
    <w:pPr>
      <w:widowControl/>
      <w:tabs>
        <w:tab w:val="center" w:pos="4677" w:leader="none"/>
        <w:tab w:val="right" w:pos="9355" w:leader="none"/>
      </w:tabs>
    </w:pPr>
  </w:style>
  <w:style w:type="character" w:styleId="718" w:customStyle="1">
    <w:name w:val="Header Char"/>
    <w:uiPriority w:val="99"/>
  </w:style>
  <w:style w:type="paragraph" w:styleId="719">
    <w:name w:val="Footer"/>
    <w:basedOn w:val="685"/>
    <w:link w:val="873"/>
    <w:pPr>
      <w:tabs>
        <w:tab w:val="center" w:pos="4677" w:leader="none"/>
        <w:tab w:val="right" w:pos="9355" w:leader="none"/>
      </w:tabs>
    </w:pPr>
  </w:style>
  <w:style w:type="character" w:styleId="720" w:customStyle="1">
    <w:name w:val="Footer Char"/>
    <w:uiPriority w:val="99"/>
  </w:style>
  <w:style w:type="paragraph" w:styleId="721">
    <w:name w:val="Caption"/>
    <w:basedOn w:val="685"/>
    <w:next w:val="685"/>
    <w:link w:val="72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22" w:customStyle="1">
    <w:name w:val="Название объекта Знак"/>
    <w:link w:val="721"/>
    <w:uiPriority w:val="35"/>
    <w:rPr>
      <w:b/>
      <w:bCs/>
      <w:color w:val="4f81bd"/>
      <w:sz w:val="18"/>
      <w:szCs w:val="18"/>
    </w:rPr>
  </w:style>
  <w:style w:type="table" w:styleId="723">
    <w:name w:val="Table Grid"/>
    <w:basedOn w:val="696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24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49">
    <w:name w:val="Hyperlink"/>
    <w:uiPriority w:val="99"/>
    <w:unhideWhenUsed/>
    <w:rPr>
      <w:color w:val="0000ff"/>
      <w:u w:val="single"/>
    </w:rPr>
  </w:style>
  <w:style w:type="paragraph" w:styleId="850">
    <w:name w:val="footnote text"/>
    <w:basedOn w:val="685"/>
    <w:link w:val="851"/>
    <w:uiPriority w:val="99"/>
    <w:semiHidden/>
    <w:unhideWhenUsed/>
    <w:pPr>
      <w:spacing w:after="40"/>
    </w:pPr>
    <w:rPr>
      <w:sz w:val="18"/>
    </w:rPr>
  </w:style>
  <w:style w:type="character" w:styleId="851" w:customStyle="1">
    <w:name w:val="Текст сноски Знак"/>
    <w:link w:val="850"/>
    <w:uiPriority w:val="99"/>
    <w:rPr>
      <w:sz w:val="18"/>
    </w:rPr>
  </w:style>
  <w:style w:type="character" w:styleId="852">
    <w:name w:val="footnote reference"/>
    <w:uiPriority w:val="99"/>
    <w:unhideWhenUsed/>
    <w:rPr>
      <w:vertAlign w:val="superscript"/>
    </w:rPr>
  </w:style>
  <w:style w:type="paragraph" w:styleId="853">
    <w:name w:val="endnote text"/>
    <w:basedOn w:val="685"/>
    <w:link w:val="854"/>
    <w:uiPriority w:val="99"/>
    <w:semiHidden/>
    <w:unhideWhenUsed/>
  </w:style>
  <w:style w:type="character" w:styleId="854" w:customStyle="1">
    <w:name w:val="Текст концевой сноски Знак"/>
    <w:link w:val="853"/>
    <w:uiPriority w:val="99"/>
    <w:rPr>
      <w:sz w:val="20"/>
    </w:rPr>
  </w:style>
  <w:style w:type="character" w:styleId="855">
    <w:name w:val="endnote reference"/>
    <w:uiPriority w:val="99"/>
    <w:semiHidden/>
    <w:unhideWhenUsed/>
    <w:rPr>
      <w:vertAlign w:val="superscript"/>
    </w:rPr>
  </w:style>
  <w:style w:type="paragraph" w:styleId="856">
    <w:name w:val="toc 1"/>
    <w:basedOn w:val="685"/>
    <w:next w:val="685"/>
    <w:uiPriority w:val="39"/>
    <w:unhideWhenUsed/>
    <w:pPr>
      <w:spacing w:after="57"/>
    </w:pPr>
  </w:style>
  <w:style w:type="paragraph" w:styleId="857">
    <w:name w:val="toc 2"/>
    <w:basedOn w:val="685"/>
    <w:next w:val="685"/>
    <w:uiPriority w:val="39"/>
    <w:unhideWhenUsed/>
    <w:pPr>
      <w:ind w:left="283"/>
      <w:spacing w:after="57"/>
    </w:pPr>
  </w:style>
  <w:style w:type="paragraph" w:styleId="858">
    <w:name w:val="toc 3"/>
    <w:basedOn w:val="685"/>
    <w:next w:val="685"/>
    <w:uiPriority w:val="39"/>
    <w:unhideWhenUsed/>
    <w:pPr>
      <w:ind w:left="567"/>
      <w:spacing w:after="57"/>
    </w:pPr>
  </w:style>
  <w:style w:type="paragraph" w:styleId="859">
    <w:name w:val="toc 4"/>
    <w:basedOn w:val="685"/>
    <w:next w:val="685"/>
    <w:uiPriority w:val="39"/>
    <w:unhideWhenUsed/>
    <w:pPr>
      <w:ind w:left="850"/>
      <w:spacing w:after="57"/>
    </w:pPr>
  </w:style>
  <w:style w:type="paragraph" w:styleId="860">
    <w:name w:val="toc 5"/>
    <w:basedOn w:val="685"/>
    <w:next w:val="685"/>
    <w:uiPriority w:val="39"/>
    <w:unhideWhenUsed/>
    <w:pPr>
      <w:ind w:left="1134"/>
      <w:spacing w:after="57"/>
    </w:pPr>
  </w:style>
  <w:style w:type="paragraph" w:styleId="861">
    <w:name w:val="toc 6"/>
    <w:basedOn w:val="685"/>
    <w:next w:val="685"/>
    <w:uiPriority w:val="39"/>
    <w:unhideWhenUsed/>
    <w:pPr>
      <w:ind w:left="1417"/>
      <w:spacing w:after="57"/>
    </w:pPr>
  </w:style>
  <w:style w:type="paragraph" w:styleId="862">
    <w:name w:val="toc 7"/>
    <w:basedOn w:val="685"/>
    <w:next w:val="685"/>
    <w:uiPriority w:val="39"/>
    <w:unhideWhenUsed/>
    <w:pPr>
      <w:ind w:left="1701"/>
      <w:spacing w:after="57"/>
    </w:pPr>
  </w:style>
  <w:style w:type="paragraph" w:styleId="863">
    <w:name w:val="toc 8"/>
    <w:basedOn w:val="685"/>
    <w:next w:val="685"/>
    <w:uiPriority w:val="39"/>
    <w:unhideWhenUsed/>
    <w:pPr>
      <w:ind w:left="1984"/>
      <w:spacing w:after="57"/>
    </w:pPr>
  </w:style>
  <w:style w:type="paragraph" w:styleId="864">
    <w:name w:val="toc 9"/>
    <w:basedOn w:val="685"/>
    <w:next w:val="685"/>
    <w:uiPriority w:val="39"/>
    <w:unhideWhenUsed/>
    <w:pPr>
      <w:ind w:left="2268"/>
      <w:spacing w:after="57"/>
    </w:pPr>
  </w:style>
  <w:style w:type="paragraph" w:styleId="865">
    <w:name w:val="TOC Heading"/>
    <w:uiPriority w:val="39"/>
    <w:unhideWhenUsed/>
    <w:rPr>
      <w:lang w:eastAsia="zh-CN"/>
    </w:rPr>
  </w:style>
  <w:style w:type="paragraph" w:styleId="866">
    <w:name w:val="table of figures"/>
    <w:basedOn w:val="685"/>
    <w:next w:val="685"/>
    <w:uiPriority w:val="99"/>
    <w:unhideWhenUsed/>
  </w:style>
  <w:style w:type="character" w:styleId="867">
    <w:name w:val="page number"/>
    <w:basedOn w:val="695"/>
  </w:style>
  <w:style w:type="paragraph" w:styleId="868">
    <w:name w:val="Balloon Text"/>
    <w:basedOn w:val="685"/>
    <w:semiHidden/>
    <w:rPr>
      <w:rFonts w:ascii="Tahoma" w:hAnsi="Tahoma" w:cs="Tahoma"/>
      <w:sz w:val="16"/>
      <w:szCs w:val="16"/>
    </w:rPr>
  </w:style>
  <w:style w:type="paragraph" w:styleId="869">
    <w:name w:val="Document Map"/>
    <w:basedOn w:val="685"/>
    <w:semiHidden/>
    <w:pPr>
      <w:shd w:val="clear" w:color="auto" w:fill="000080"/>
    </w:pPr>
    <w:rPr>
      <w:rFonts w:ascii="Tahoma" w:hAnsi="Tahoma" w:cs="Tahoma"/>
    </w:rPr>
  </w:style>
  <w:style w:type="character" w:styleId="870" w:customStyle="1">
    <w:name w:val="Заголовок 1 Знак"/>
    <w:link w:val="686"/>
    <w:rPr>
      <w:sz w:val="24"/>
      <w:szCs w:val="24"/>
    </w:rPr>
  </w:style>
  <w:style w:type="character" w:styleId="871" w:customStyle="1">
    <w:name w:val="Заголовок 9 Знак"/>
    <w:link w:val="694"/>
    <w:rPr>
      <w:rFonts w:ascii="Calibri Light" w:hAnsi="Calibri Light" w:eastAsia="Times New Roman" w:cs="Times New Roman"/>
      <w:sz w:val="22"/>
      <w:szCs w:val="22"/>
    </w:rPr>
  </w:style>
  <w:style w:type="paragraph" w:styleId="872" w:customStyle="1">
    <w:name w:val="ConsPlusCell"/>
    <w:uiPriority w:val="99"/>
    <w:rPr>
      <w:sz w:val="24"/>
      <w:szCs w:val="24"/>
    </w:rPr>
  </w:style>
  <w:style w:type="character" w:styleId="873" w:customStyle="1">
    <w:name w:val="Нижний колонтитул Знак"/>
    <w:basedOn w:val="695"/>
    <w:link w:val="719"/>
  </w:style>
  <w:style w:type="character" w:styleId="874" w:customStyle="1">
    <w:name w:val="Верхний колонтитул Знак"/>
    <w:link w:val="717"/>
    <w:uiPriority w:val="99"/>
  </w:style>
  <w:style w:type="paragraph" w:styleId="875">
    <w:name w:val="Normal (Web)"/>
    <w:basedOn w:val="685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MOFOMS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nikitina</dc:creator>
  <cp:lastModifiedBy>kazanenko_iv</cp:lastModifiedBy>
  <cp:revision>10</cp:revision>
  <dcterms:created xsi:type="dcterms:W3CDTF">2026-03-30T09:32:00Z</dcterms:created>
  <dcterms:modified xsi:type="dcterms:W3CDTF">2026-05-08T09:24:59Z</dcterms:modified>
  <cp:version>1048576</cp:version>
</cp:coreProperties>
</file>